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37/148 vom 30. Juni 2022</w:t>
      </w:r>
    </w:p>
    <w:p>
      <w:r>
        <w:t>BL Gerichte, 2022-06-30, DE</w:t>
      </w:r>
    </w:p>
    <w:p>
      <w:r>
        <w:rPr>
          <w:b/>
        </w:rPr>
        <w:t xml:space="preserve">Quelle: </w:t>
      </w:r>
      <w:r>
        <w:t>https://mcp.opencaselaw.ch/entscheid/bl_gerichte_725 22 37_148</w:t>
      </w:r>
    </w:p>
    <w:p>
      <w:r>
        <w:t>FR: BL_GERICHTE 725 22 37/148 du 30 juin 2022</w:t>
      </w:r>
    </w:p>
    <w:p>
      <w:r>
        <w:t>IT: BL_GERICHTE 725 22 37/148 del 30 giugno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31. Januar 2022 ist demnach einzutreten.</w:t>
      </w:r>
    </w:p>
    <w:p>
      <w:r>
        <w:rPr>
          <w:b/>
        </w:rPr>
        <w:t>E. 2</w:t>
      </w:r>
    </w:p>
    <w:p>
      <w:r>
        <w:t>Streitig und im Folgenden zu prüfen ist, ob das Ereignis vom 2./3. Mai 2019 als Unfall im Rechtssinne zu qualifizieren ist und in diesem Zusammenhang insbesondere, ob die im Rahmen der Sexualpraktik «Fisting» eingetretene Einwirkung auf den Körper der Beschwerdeführerin ungewöhnlich war. 3.1 Nach Art. 6 Abs. 1 UVG hat der Unfallversicherer in der obligatorischen Unfallversicherung, soweit das Gesetz nichts anderes bestimmt, 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hat sie Anspruch auf ein Taggeld (Art. 16 Abs. 1 UVG). 3.2 Als Unfall gilt gemäss Art. 4 ATSG die plötzliche, nicht beabsichtigte schädigende Einwirkung eines ungewöhnlichen äusseren Faktors auf den menschlichen Körper, die eine Beeinträchtigung der körperlichen oder geistigen Gesundheit oder den Tod zur Folge hat. 3.3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damit,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72 E. 4.3.1). 3.4 Das Bundesgericht hat sich in BGE 134 V 72 einlässlich zum Begriffsmerkmal der Ungewöhnlichkeit geäussert. 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(BGE 134 V 72 E. 4.1.1, mit Hinweisen).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4.1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im Beschwerdefall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4.2 Nach ständiger Rechtsprechung prüft das Sozialversicherungsgericht grundsätzlich frei, ob ein bestimmter (objektiver) Straftatbestand erfüllt ist (BGE 125 V 237 E. 6a; SVR 2018 UV Nr. 30 S. 105, 8C_600/2017 E. 5.1; Urteile des Bundesgerichts vom 12. Mai 2020, 8C_180/2020, E. 3.4, vom 13. Februar 2018, 8C_832/2017 E. 3.3, vom 27. Oktober 2016, 8C_420/2016, E. 2.4, und vom 3. Juli 2008, 8C_19/2008, E. 2). Es ist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(z.B. «in dubio pro reo»; BGE 143 V 393 E. 7.2, 125 V 237 E. 6a, 111 V 172 E. 5a; je mit Hinweisen). Liegt kein Strafurteil vor, haben die Sozialversicherungsbehörden selber vorfrageweise zu beurteilen, ob der Straftatbestand erfüllt ist (zum Ganzen: BGE 148 V 195 E. 4.2 mit zahlreichen weiteren Hinweisen).</w:t>
      </w:r>
    </w:p>
    <w:p>
      <w:r>
        <w:rPr>
          <w:b/>
        </w:rPr>
        <w:t>E. 5</w:t>
      </w:r>
    </w:p>
    <w:p>
      <w:r>
        <w:t>Aus den Akten ergeben sich folgende Angaben zum Geschehensablauf:</w:t>
      </w:r>
    </w:p>
    <w:p>
      <w:r>
        <w:rPr>
          <w:b/>
        </w:rPr>
        <w:t>E. 5.1</w:t>
      </w:r>
    </w:p>
    <w:p>
      <w:r>
        <w:t>Gemäss Unfallmeldung vom 29. August 2019 erlitt die Versicherte in der Nacht vom 2. auf den 3. Mai 2019 bei einem unerwünschten Sexualkontakt, als C.____ seine gesamte Hand bis zum Handgelenk vaginal eingeführt und plötzlich und ruckartig wieder herausgerissen habe, Verletzungen im Genitalbereich.</w:t>
      </w:r>
    </w:p>
    <w:p>
      <w:r>
        <w:rPr>
          <w:b/>
        </w:rPr>
        <w:t>E. 5.2</w:t>
      </w:r>
    </w:p>
    <w:p>
      <w:r>
        <w:t>Der behandelnde Arzt Dr. med. D.____, FMH Gynäkologie und Geburtshilfe, bestätigte mit Schreiben vom 14. Mai 2021, dass die Scheidensenkung nur durch ein starkes Ziehen an der Scheidenwand habe zustande kommen können. Insbesondere habe die Patientin vor dem Übergriff eine gynäkologische Kontrolle gehabt, bei der ein unauffälliger Befund festgestellt worden sei. Die Verletzung habe nur durch einen willkürlichen Kraftakt verursacht werden können. Es sei nicht bloss die Scheidenwand mit dem Darm und der Blase heruntergezogen, sondern auch die gesamte Beckenbodenmuskulatur zerstört worden. Der Täter habe einen erheblichen Kraftakt vollziehen müssen. Aufgrund des Ausmasses der Verletzung könne nicht von einem einvernehmlichen Sexualakt ausgegangen werden.</w:t>
      </w:r>
    </w:p>
    <w:p>
      <w:r>
        <w:rPr>
          <w:b/>
        </w:rPr>
        <w:t>E. 5.3</w:t>
      </w:r>
    </w:p>
    <w:p>
      <w:r>
        <w:t>Der Mitschrift der mündlichen Urteilsberatung der Dreierkammer 3 des Strafgerichts Basel-Landschaft ist zu entnehmen, dass dem Strafurteil vom 29. Juni 2021 folgender Sachverhalt zugrunde gelegt wurde: Nach vorherigem Geschlechtsverkehr sei der Beschuldigte mit der Hand immer tiefer vaginal in die Versicherte eingedrungen, weil er das Gefühl gehabt habe, sie so zu erregen. Als sie plötzlich aufschrie bzw. ihn aufforderte, die Hand zu entfernen, habe er die Hand sofort entfernt. Dieses Wegziehen müsse schon nur aufgrund der Verletzungen mit erheblicher Kraft erfolgt sein. Der Beschuldigte habe zunächst in den Einvernahmen selbst ausgeführt, dass es ein Unfall gewesen sei bzw., dass er in Panik geraten und unvorsichtig gewesen sei. Es müsse von einer die Verletzungen verursachenden Reflexhandlung ausgegangen werden, die voraussehbar und vermeidbar gewesen sei. Dass so schwere und bleibende Verletzungsfolgen eingetreten seien, erscheine gestützt auf das gerichtliche Erfahrungswissen und angesichts der beispielsweise möglichen Verletzungen während einer Geburt als aussergewöhnlich und damit nicht als wahrscheinliche Folge eines solchen Verhaltens, weshalb sie der Beschuldigte nicht habe voraussehen müssen.</w:t>
      </w:r>
    </w:p>
    <w:p>
      <w:r>
        <w:rPr>
          <w:b/>
        </w:rPr>
        <w:t>E. 6</w:t>
      </w:r>
    </w:p>
    <w:p>
      <w:r>
        <w:t>Vorliegend besteht kein Anlass, von den tatbestandlichen Feststellungen des Strafgerichts Basel-Landschaft abzuweichen. Selbst ohne Berücksichtigung des Grundsatzes «in dubio pro reo» erscheint der dem Strafurteil vom 29. Juni 2021 zugrunde gelegte Sachverhalt als überwiegend wahrscheinlich. Es ist folglich davon auszugehen, dass C.____ beim vaginalen Faustverkehr mit der Versicherten in Panik geriet, als diese aufschrie und ihn aufforderte, aufzuhören, und anschliessend reflex- und ruckartig die Hand herauszog. Mit dem Strafgericht ist ferner festzustellen, dass die Versicherte bei diesem Verhalten Verletzungen erlitt, wie dies auch einhellig von den behandelnden Ärzten postuliert wird. Der hier zugrunde zu legende Geschehensablauf wird letztlich denn auch von der Beschwerdegegnerin nicht substantiiert in Frage gestellt.</w:t>
      </w:r>
    </w:p>
    <w:p>
      <w:r>
        <w:rPr>
          <w:b/>
        </w:rPr>
        <w:t>E. 7</w:t>
      </w:r>
    </w:p>
    <w:p>
      <w:r>
        <w:t>Zu prüfen ist damit, ob der beschriebene Geschehensablauf die Voraussetzungen für die Qualifikation als Unfall erfüllt.</w:t>
      </w:r>
    </w:p>
    <w:p>
      <w:r>
        <w:rPr>
          <w:b/>
        </w:rPr>
        <w:t>E. 7.1</w:t>
      </w:r>
    </w:p>
    <w:p>
      <w:r>
        <w:t>Unter den Parteien ist zu Recht unbestritten, dass es sich beim Herausziehen der Hand um die plötzliche schädigende Einwirkung eines äusseren Faktors auf den Körper der Beschwerdeführerin handelte. Als erstellt kann auch erachtet werden, dass diese Einwirkung unbeabsichtigt war, bezieht sich die Absicht bzw. Unfreiwilligkeit doch auf die Herbeiführung eines Gesundheitsschadens selbst und nicht auf die zur gesundheitlichen Schädigung führende Handlung (BGE 143 V 285 E. 4.2.1 mit Hinweisen, BGE 115 V 151 E. 4; Ueli Kieser , ATSG-Kommentar, 4. Auflage, Zürich/Basel/Genf 2020, Art. 4 N 23 und 24 mit Hinweisen). Zu beurteilen ist im Folgenden jedoch, ob das kumulativ vorausgesetzte Kriterium der Ungewöhnlichkeit des äusseren Faktors vorliegend gegeben ist.</w:t>
      </w:r>
    </w:p>
    <w:p>
      <w:r>
        <w:rPr>
          <w:b/>
        </w:rPr>
        <w:t>E. 7.2</w:t>
      </w:r>
    </w:p>
    <w:p>
      <w:r>
        <w:t>Die Beschwerdegegnerin verneint die Ungewöhnlichkeit des äusseren Faktors im Wesentlichen damit, dass dem vaginalen Faustverkehr ein Verletzungsrisiko inhärent sei und sich dieses nicht ungewöhnliche Risiko aufgrund des nicht ideal verlaufenen Aktes bloss mit aussergewöhnlichen Verletzungen realisiert habe. Da die erlittene Körperverletzung nicht absichtlich verbeigeführt worden sei, führe auch die Verurteilung von C.____ wegen fahrlässiger Körperverletzung nicht zur Bejahung des Kriteriums der Ungewöhnlichkeit. 7.3.1 Wie in Erwägung 3.4 hiervor ausgeführt, besteht der Sinn und Zweck des Kriteriums der Ungewöhnlichkeit letztlich darin, eine Abgrenzung zu krankheitsbedingten Gesundheitsschädigungen zu ermöglichen. Aufgrund des ungewöhnlichen exogenen Elements soll eine endogene, d.h. körpereigene Verursachung ausser Betracht fallen. Vorliegend sprechen bereits die von der Beschwerdeführerin erlittenen Verletzungen klar gegen eine rein im Körperinneren entstandene, krankheitsbedingte Gesundheitsschädigung. Der behandelnde Gynäkologe Dr. D.____ führt mit Bericht vom 14. Mai 2021 überzeugend aus, dass die Verletzungen nur durch einen (externen) Kraftakt hätten verursacht werden könne. Damit ist folglich auch festzuhalten, dass es sich vorliegend nicht um eine unkoordinierte Bewegung, einen durch eine Programmwidrigkeit gestörter Bewegungsablauf handelt, und die entsprechende Rechtsprechung nur begrenzt zur Anwendung gelangt (vgl. BGE 130 V 117 E. 2). Vielmehr bestand eine direkte Fremdeinwirkung auf den Körper der Beschwerdeführerin. Der versicherungsrelevante Unfall soll indes auch von alltäglichen und normalen Einwirkungen auf den Körper unterschieden werden können. Dabei ist bei der Beurteilung des Üblichen, Normalen und Alltäglichen objektiv auf den jeweiligen Lebensbereich, in dem das Ereignis stattgefunden hat, abzustellen (vgl. E. 3.3 und 3.4 hiervor). 7.3.2 Wie die Beschwerdegegnerin zu Recht ausführt, ist die Sexualpraktik des «Fistings» zwar nicht weit verbreitet, aber dennoch für sich genommen nicht ungewöhnlich im Rechtssinne. Auch ist dem vaginalen «Fisting» - gleich wie anderen Sexualpraktiken - ein gewisses Verletzungsrisiko inhärent. Dies umfasst jedoch im üblichen Ablauf leichte und vorübergehende Verletzungen, welche in der Regel keiner ärztlichen Behandlung bedürfen (Mikroblutungen; https://www.schalkpichler.at/2013/fisting-ganz-normale-sexualpraktik/ ). Zwar gehört das Ein- und Ausführen der Hand zum üblichen Bewegungsablauf beim Faustverkehr. Wie die Beschwerdegegnerin selbst ausführt, muss die Sexualpraktik des Faustverkehrs jedoch mit Vorsicht praktiziert werden. Als C.____ nach eigenen Angaben in Panik geriet und die Hand ruckartig herauszog, liess er diese notwendige Vorsicht vermissen. Es muss davon ausgegangen werden, dass der übliche Ablauf des «Fistings» durch die ungeplante, ruckartige und in Panik vollzogene Bewegung massiv gestört und überschritten wurde. Die Einwirkung auf den Körper der Beschwerdeführerin hob sich dabei vom Normalmass an Umwelteinflüssen - auch im Rahmen einer eher selten praktizierten und mit gewissen Risiken behafteten Sexualpraktik -deutlich ab. 7.3.3 Für die Ungewöhnlichkeit des äusseren Faktors spricht entgegen der Auffassung der Beschwerdegegnerin sodann insbesondere auch deren strafrechtliche Qualifikation. Sofern die Beschwerdegegnerin geltend machen will, dass nur vorsätzliche Straftaten den Unfallbegriff erfüllen, muss ihr widersprochen werden. Tatsächlich findet sich weder im Gesetz noch in der Lehre eine entsprechende Einschränkung. Festgehalten wird - mit Ausnahme der vorliegend nicht interessierenden Schreckereignisse - bloss, dass eine Straftat, bei der eine Einwirkung auf den menschlichen Körper erfolgt, in aller Regel einen Unfall darstellt ( Ueli Kieser , Kommentar zum Bundesgesetz über den Allgemeinen Teil des Sozialversicherungsrechts ATSG, 4. Auflage, Zürich/Basel/Genf 2020, Rz. 63 zu Art. 4; Ueli Kieser/Hardy Landolt , Unfall Haftung Versicherung, Zürich/St.Gallen 2012, Rz. 66). Ob dieser Angriff bzw. die strafrechtlich relevante Einwirkung eines Menschen auf einen anderen vorsätzlich oder bloss fahrlässig erfolgt ist, kann bei der Qualifikation der Ungewöhnlichkeit keine Rolle spielen. Vielmehr muss festgestellt werden, dass die strafrechtlich relevante Einwirkung auf den Körper wohl immer etwas Ungewöhnliches darstellt, d.h. etwas, das den Rahmen des Alltäglichen oder Üblichen überschreitet. So würde auch ein Versicherter, der in einer Menschenmenge versehentlich von einem Dritten geschlagen wird, einen ungewöhnlichen äusseren Faktor erleben. Auch die von beiden Parteien herangezogene Analogie zu den accidents médicals vermag in diesem Zusammenhang deshalb bloss teilweise zu überzeugen. Bei der entsprechenden Rechtsprechung des Bundesgerichts - wonach nur grobfahrlässige und ausserordentliche Verwechslungen und Ungeschicklichkeiten oder absichtliche Schädigungen den Unfallbegriff erfüllen - geht es um die Abgrenzung der Unfall- zur Haftpflichtversicherung für medizinische Massnahmen ( Irene Hofer , in: Basler Kommentar zum Allgemeinen Teil des Sozialversicherungsrechts, Frésard-Fellay/Klett/Leuzinger [Hrsg.], Basel 2020, Rz. 52 zu Art. 4). Der strenge Massstab, welcher vom Bundesgericht angewendet wird, wird in der Lehre kritisiert ( Kieser , a.a.O., Rz. 82 ff. zu Art. 4; Hofer , a.a.O., Rz. 52 zu Art. 4). Es bestehen jedenfalls keine Gründe dafür, diesen strengen Massstab über die Sphäre der medizinischen Eingriffe hinaus zur Anwendung zu bringen. Dass die Beschwerdeführerin - entsprechend den strafrechtlichen Feststellungen - in die Sexualpraktik eingewilligt hat, ändert an diesem Ergebnis nichts. Denn die Einwilligung in eine Handlung entspricht nicht der Einwilligung in die Verwirklichung sämtlicher bei dieser Handlung in Frage kommenden oder vorstellbaren Risiken. Dies wird auch aus der Rechtsprechung zu Sportverletzungen deutlich: So wurde der Bandencheck beim Eishockey (BGE 130 V 117) oder die Grätsche beim Fussball (RKUV 1993 Nr. U 165, S. 58, bestätigt in BGE 130 V 117 E. 2.2.2) jeweils als ungewöhnlich qualifiziert, obwohl es sich dabei um durchaus übliche Risiken in den jeweiligen Sportarten handelt. Gleichermassen kann auch im vorliegenden Fall die Ungewöhnlichkeit nicht verneint werden, zumal die Beschwerdeführerin in die strafrechtlich relevante Handlung der Körperverletzung nicht eingewilligt hat.</w:t>
      </w:r>
    </w:p>
    <w:p>
      <w:r>
        <w:rPr>
          <w:b/>
        </w:rPr>
        <w:t>E. 7.4</w:t>
      </w:r>
    </w:p>
    <w:p>
      <w:r>
        <w:t>Zusammenfassend ergibt sich, dass das Tatbestandsmerkmal der Ungewöhnlichkeit im vorliegenden Fall gegeben ist. Da auch die weiteren Unfallbegriffsmerkmale des äusseren Faktors sowie der plötzlichen, nicht beabsichtigten schädigenden Einwirkung auf den Körper der Versicherten zu bejahen sind, ist festzustellen, dass es sich beim Ereignis in der Nacht vom 2. auf den 3. März 2019 um einen Unfall im Rechtssinne gehandelt hat. Die Beschwerde ist in diesem Sinne gutzuheissen. Bei diesem Ergebnis erübrigt sich die Prüfung, ob eine unfallähnliche Körperschädigung gemäss Art. 6 Abs. 2 UVG oder ein Schreckereignis vorliegt. Die Angelegenheit wird zur Prüfung der weiteren Anspruchsvoraussetzungen - zu denen sich die Beschwerdegegnerin bisher nicht geäussert hat - an die Vorinstanz zurückgewiesen.</w:t>
      </w:r>
    </w:p>
    <w:p>
      <w:r>
        <w:rPr>
          <w:b/>
        </w:rPr>
        <w:t>E. 8</w:t>
      </w:r>
    </w:p>
    <w:p>
      <w:r>
        <w:t>Es bleibt über die Kosten zu befinden.</w:t>
      </w:r>
    </w:p>
    <w:p>
      <w:r>
        <w:rPr>
          <w:b/>
        </w:rPr>
        <w:t>E. 8.1</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w:t>
      </w:r>
    </w:p>
    <w:p>
      <w:r>
        <w:rPr>
          <w:b/>
        </w:rPr>
        <w:t>E. 8.2</w:t>
      </w:r>
    </w:p>
    <w:p>
      <w:r>
        <w:t>Gemäss Art. 61 lit. g ATSG hat die obsiegende Beschwerde führende Person Anspruch auf Ersatz der Parteikosten. Diese werden vom Gericht festgesetzt und ohne Rücksicht auf den Streitwert nach der Bedeutung der Streitsache und nach der Schwierigkeit des Prozesses bemessen. Nachdem die Beschwerde gutzuheissen ist, hat die Beschwerdegegnerin der Beschwerdeführerin eine Parteientschädigung auszurichten. In der Honorarnote vom 4. April 2022 hat die Rechtsvertreterin der Beschwerdeführerin einen Aufwand von 16.25 Stunden geltend gemacht, was angesichts der sich stellenden Sachverhalts- und Rechtsfragen nicht zu beanstanden ist. Die Bemühungen sind zu dem in Sozialversicherungsprozessen praxisgemäss für durchschnittliche Fälle zur Anwendung gelangenden Stundenansatz von Fr. 250.-- zu entschädigen. Nicht zu beanstanden sind ferner die in der Honorarnote ausgewiesenen Auslagen von Fr. 92.30. Die Beschwerdegegnerin hat der Beschwerdeführerin demnach eine Parteientschädigung in der geltend gemachten Höhe von Fr. 4'474.75 (16.25 Stunden à Fr. 250.-- zuzüglich Auslagen von Fr. 92.30 sowie 7,7% Mehrwertsteuer) zu bezahlen.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im dem Sinne gutgeheissen, als dass der angefochtene Einspracheentscheid vom 13. Dezember 2021 aufgehoben und festgestellt wird, dass es sich beim Ereignis von der Nacht vom 2. auf 3. März 2019 um einen Unfall im Rechtssinne gehandelt hat. Die Angelegenheit wird zur Prüfung der weiteren Anspruchsvoraussetzungen an die Beschwerdegegnerin zurückgewiesen. 2. Es werden keine Verfahrenskosten erhoben. 3. Die Beschwerdegegnerin hat der Beschwerdeführerin eine Parteientschädigung in der Höhe von Fr. 4'474.75 (inklusive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